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8B9F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  <w:t>绍兴市越城区皋埠街道社区卫生服务中心</w:t>
      </w:r>
    </w:p>
    <w:p w14:paraId="4AF62C4E">
      <w:pPr>
        <w:spacing w:before="140" w:line="595" w:lineRule="exact"/>
        <w:jc w:val="center"/>
        <w:rPr>
          <w:rFonts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  <w:t>放射检查资料互认项目清单</w:t>
      </w:r>
    </w:p>
    <w:p w14:paraId="32C52A0F">
      <w:pPr>
        <w:spacing w:before="140" w:line="595" w:lineRule="exact"/>
        <w:jc w:val="center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  <w:t>（第四批）</w:t>
      </w:r>
    </w:p>
    <w:p w14:paraId="71747CE8">
      <w:pPr>
        <w:spacing w:before="40"/>
        <w:rPr>
          <w:lang w:eastAsia="zh-CN"/>
        </w:rPr>
      </w:pPr>
    </w:p>
    <w:p w14:paraId="5A7EA122">
      <w:pPr>
        <w:spacing w:before="39"/>
        <w:rPr>
          <w:lang w:eastAsia="zh-CN"/>
        </w:rPr>
      </w:pPr>
    </w:p>
    <w:tbl>
      <w:tblPr>
        <w:tblStyle w:val="4"/>
        <w:tblW w:w="8139" w:type="dxa"/>
        <w:tblInd w:w="3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935"/>
        <w:gridCol w:w="1234"/>
        <w:gridCol w:w="2884"/>
        <w:gridCol w:w="2140"/>
      </w:tblGrid>
      <w:tr w14:paraId="07B87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6" w:type="dxa"/>
          </w:tcPr>
          <w:p w14:paraId="5B4656D3">
            <w:pPr>
              <w:spacing w:before="50" w:line="219" w:lineRule="auto"/>
              <w:ind w:left="259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935" w:type="dxa"/>
          </w:tcPr>
          <w:p w14:paraId="7F657AF0">
            <w:pPr>
              <w:spacing w:before="50" w:line="219" w:lineRule="auto"/>
              <w:ind w:left="250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spacing w:val="-3"/>
                <w:sz w:val="24"/>
                <w:szCs w:val="24"/>
              </w:rPr>
              <w:t>模态</w:t>
            </w:r>
          </w:p>
        </w:tc>
        <w:tc>
          <w:tcPr>
            <w:tcW w:w="1234" w:type="dxa"/>
          </w:tcPr>
          <w:p w14:paraId="3A74102A">
            <w:pPr>
              <w:spacing w:before="50" w:line="219" w:lineRule="auto"/>
              <w:ind w:left="406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spacing w:val="-7"/>
                <w:sz w:val="24"/>
                <w:szCs w:val="24"/>
              </w:rPr>
              <w:t>部位</w:t>
            </w:r>
          </w:p>
        </w:tc>
        <w:tc>
          <w:tcPr>
            <w:tcW w:w="2884" w:type="dxa"/>
          </w:tcPr>
          <w:p w14:paraId="06C96075">
            <w:pPr>
              <w:spacing w:before="50" w:line="219" w:lineRule="auto"/>
              <w:ind w:left="113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spacing w:val="-2"/>
                <w:sz w:val="24"/>
                <w:szCs w:val="24"/>
              </w:rPr>
              <w:t>项目中文简称</w:t>
            </w:r>
          </w:p>
        </w:tc>
        <w:tc>
          <w:tcPr>
            <w:tcW w:w="2140" w:type="dxa"/>
          </w:tcPr>
          <w:p w14:paraId="0BEF7B8F">
            <w:pPr>
              <w:spacing w:before="50" w:line="219" w:lineRule="auto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ascii="仿宋" w:hAnsi="仿宋" w:eastAsia="仿宋" w:cs="黑体"/>
                <w:b/>
                <w:spacing w:val="-2"/>
                <w:sz w:val="24"/>
                <w:szCs w:val="24"/>
              </w:rPr>
              <w:t>项目编码</w:t>
            </w:r>
          </w:p>
        </w:tc>
      </w:tr>
      <w:tr w14:paraId="516AC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6" w:type="dxa"/>
          </w:tcPr>
          <w:p w14:paraId="7ECB18F0">
            <w:pPr>
              <w:spacing w:before="50" w:line="219" w:lineRule="auto"/>
              <w:ind w:left="259"/>
              <w:rPr>
                <w:rFonts w:hint="eastAsia" w:ascii="仿宋" w:hAnsi="仿宋" w:eastAsia="仿宋" w:cs="黑体"/>
                <w:b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0A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084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4B761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颈椎正位DR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EDA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BR00ZZZ00-00</w:t>
            </w:r>
          </w:p>
        </w:tc>
      </w:tr>
    </w:tbl>
    <w:p w14:paraId="2673F6E6"/>
    <w:p w14:paraId="29B41237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36603DAA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58D56B9B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121C1F3D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20EF1708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6BC97CE7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38158DD6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1A835773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3CD0C1C0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40DD8A7F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14412EC8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1BD7D555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4C8FF906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4E35FFB3">
      <w:pPr>
        <w:spacing w:before="140" w:line="595" w:lineRule="exact"/>
        <w:jc w:val="center"/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</w:p>
    <w:p w14:paraId="65CA8EA7">
      <w:pPr>
        <w:spacing w:before="140" w:line="595" w:lineRule="exact"/>
        <w:ind w:firstLine="739" w:firstLineChars="200"/>
        <w:jc w:val="both"/>
        <w:rPr>
          <w:rFonts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  <w:t>绍兴市越城区皋埠街道社区卫生服务中心</w:t>
      </w:r>
    </w:p>
    <w:p w14:paraId="4EB5CF69">
      <w:pPr>
        <w:spacing w:before="140" w:line="595" w:lineRule="exact"/>
        <w:jc w:val="center"/>
        <w:rPr>
          <w:rFonts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  <w:t>临床检验</w:t>
      </w:r>
      <w:r>
        <w:rPr>
          <w:rFonts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  <w:t>互认项目清单</w:t>
      </w:r>
    </w:p>
    <w:p w14:paraId="26696E1D">
      <w:pPr>
        <w:spacing w:before="140" w:line="595" w:lineRule="exact"/>
        <w:jc w:val="center"/>
        <w:rPr>
          <w:rFonts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  <w:t>(第四批</w:t>
      </w:r>
      <w:r>
        <w:rPr>
          <w:rFonts w:hint="eastAsia" w:ascii="宋体" w:hAnsi="宋体" w:eastAsia="宋体" w:cs="宋体"/>
          <w:b/>
          <w:bCs/>
          <w:spacing w:val="-16"/>
          <w:position w:val="2"/>
          <w:sz w:val="40"/>
          <w:szCs w:val="40"/>
          <w:lang w:eastAsia="zh-CN"/>
        </w:rPr>
        <w:t>)</w:t>
      </w:r>
    </w:p>
    <w:tbl>
      <w:tblPr>
        <w:tblStyle w:val="2"/>
        <w:tblW w:w="85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689"/>
        <w:gridCol w:w="2925"/>
        <w:gridCol w:w="1626"/>
      </w:tblGrid>
      <w:tr w14:paraId="1B765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4045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序号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C4A3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项目编码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BC5B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项目中文名称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1303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备注</w:t>
            </w:r>
          </w:p>
        </w:tc>
      </w:tr>
      <w:tr w14:paraId="221FBB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EA30"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B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25010190100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B2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血气和酸碱平衡分析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5545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 w14:paraId="45D07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ED50">
            <w:pPr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B7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25031000900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52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甲状旁腺激素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5733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 w14:paraId="0EC7C1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2598">
            <w:pPr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F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25031000600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C86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促肾上腺皮质激素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B285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 w14:paraId="6BD57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649A">
            <w:pPr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25031005700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C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胃泌素释放肽前体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3D01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 w14:paraId="58AD44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8DF7">
            <w:pPr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F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25031001800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E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皮质醇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023C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 w14:paraId="6D22C4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6C92">
            <w:pPr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0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25040304205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幽门螺杆菌抗体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B572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 w14:paraId="2FE05D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40BB">
            <w:pPr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6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25040391801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33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新型冠状病毒总抗体测定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DCCA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 w14:paraId="0D0F1E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D4F8">
            <w:pPr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79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25040391800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BCB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新型冠状病毒抗体测定（IgG）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199A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 w14:paraId="673D7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F592">
            <w:pPr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6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25040391900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FDC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新型冠状病毒抗体测定（IgM）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D978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</w:tbl>
    <w:p w14:paraId="476E65CD">
      <w:pPr>
        <w:rPr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D3CBF0F">
      <w:pPr>
        <w:tabs>
          <w:tab w:val="left" w:pos="213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226E6"/>
    <w:rsid w:val="00192355"/>
    <w:rsid w:val="001E24B3"/>
    <w:rsid w:val="00271BB5"/>
    <w:rsid w:val="002C0738"/>
    <w:rsid w:val="002D7720"/>
    <w:rsid w:val="003352C2"/>
    <w:rsid w:val="0036432A"/>
    <w:rsid w:val="008319D8"/>
    <w:rsid w:val="00834E00"/>
    <w:rsid w:val="00D0279C"/>
    <w:rsid w:val="00D623DC"/>
    <w:rsid w:val="00EE4D5E"/>
    <w:rsid w:val="00FE6F85"/>
    <w:rsid w:val="0F2C0689"/>
    <w:rsid w:val="68B226E6"/>
    <w:rsid w:val="699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270</Characters>
  <Lines>28</Lines>
  <Paragraphs>7</Paragraphs>
  <TotalTime>64</TotalTime>
  <ScaleCrop>false</ScaleCrop>
  <LinksUpToDate>false</LinksUpToDate>
  <CharactersWithSpaces>270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2025-07-03T12:39:00Z</dcterms:created>
  <dc:creator>盲的鱼</dc:creator>
  <cp:lastModifiedBy>丰</cp:lastModifiedBy>
  <dcterms:modified xsi:type="dcterms:W3CDTF">2025-08-07T00:59:16Z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02CFE18F46CE4144937457447E4787D3_11</vt:lpwstr>
  </property>
  <property fmtid="{D5CDD505-2E9C-101B-9397-08002B2CF9AE}" pid="4" name="KSOTemplateDocerSaveRecord">
    <vt:lpwstr>eyJoZGlkIjoiMzNiNTY5MDY5YmEyYmM2NmM2NjM0ZjNkYzkxYmVlYTAiLCJ1c2VySWQiOiI0NTk0NzU4MTcifQ==</vt:lpwstr>
  </property>
</Properties>
</file>